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D5" w:rsidRPr="00A86A7A" w:rsidRDefault="00F513D5" w:rsidP="00F513D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513D5" w:rsidRPr="00A86A7A" w:rsidTr="000128D5">
        <w:trPr>
          <w:trHeight w:val="359"/>
        </w:trPr>
        <w:tc>
          <w:tcPr>
            <w:tcW w:w="4248" w:type="dxa"/>
            <w:gridSpan w:val="2"/>
            <w:hideMark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B447FA2" wp14:editId="3DE1524D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3D5" w:rsidRPr="00A86A7A" w:rsidTr="000128D5">
        <w:trPr>
          <w:trHeight w:val="904"/>
        </w:trPr>
        <w:tc>
          <w:tcPr>
            <w:tcW w:w="6948" w:type="dxa"/>
            <w:gridSpan w:val="4"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513D5" w:rsidRPr="00A86A7A" w:rsidRDefault="00F513D5" w:rsidP="000128D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A86A7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513D5" w:rsidRPr="00A86A7A" w:rsidRDefault="00F513D5" w:rsidP="000128D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513D5" w:rsidRPr="00A86A7A" w:rsidTr="000128D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A86A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F513D5" w:rsidRPr="00A86A7A" w:rsidRDefault="00F513D5" w:rsidP="000128D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A86A7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F513D5" w:rsidRPr="00A86A7A" w:rsidRDefault="00F513D5" w:rsidP="00F513D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513D5" w:rsidRPr="00A86A7A" w:rsidTr="000128D5">
        <w:tc>
          <w:tcPr>
            <w:tcW w:w="2660" w:type="dxa"/>
            <w:hideMark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ZP-4/2016</w:t>
            </w:r>
          </w:p>
        </w:tc>
        <w:tc>
          <w:tcPr>
            <w:tcW w:w="2158" w:type="dxa"/>
            <w:hideMark/>
          </w:tcPr>
          <w:p w:rsidR="00F513D5" w:rsidRPr="00A86A7A" w:rsidRDefault="00F513D5" w:rsidP="000128D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513D5" w:rsidRPr="00A86A7A" w:rsidRDefault="007B6355" w:rsidP="000128D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21.</w:t>
            </w:r>
            <w:r w:rsidR="00F513D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03</w:t>
            </w:r>
            <w:r w:rsidR="00F513D5" w:rsidRPr="00A86A7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F513D5" w:rsidRPr="00A86A7A" w:rsidRDefault="00F513D5" w:rsidP="00F513D5">
      <w:pPr>
        <w:spacing w:after="0" w:line="240" w:lineRule="auto"/>
        <w:ind w:left="5664"/>
        <w:jc w:val="both"/>
        <w:rPr>
          <w:rFonts w:ascii="Calibri" w:eastAsia="Calibri" w:hAnsi="Calibri" w:cs="Times New Roman"/>
        </w:rPr>
      </w:pPr>
    </w:p>
    <w:p w:rsidR="00F513D5" w:rsidRDefault="00F513D5" w:rsidP="00F513D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 wszystkich zainteresowanych</w:t>
      </w:r>
    </w:p>
    <w:p w:rsidR="00F513D5" w:rsidRPr="00A86A7A" w:rsidRDefault="00F513D5" w:rsidP="00F513D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13D5" w:rsidRPr="00A86A7A" w:rsidRDefault="00F513D5" w:rsidP="00F513D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ZP-4/2016 pn.</w:t>
      </w:r>
      <w:r w:rsidRPr="00A86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513D5" w:rsidRPr="00A86A7A" w:rsidRDefault="00F513D5" w:rsidP="00F5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Pr="00A86A7A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4121W ul. Rataja gm. Ożarów Mazowiecki, ul. Poprzeczna gm. Stare Babice, dł. 4476,15 mb wraz z wykonaniem ronda na skrzyżowaniu z ul. Nowowiejską w m. Pogroszew</w:t>
      </w:r>
      <w:r w:rsidRPr="00A86A7A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F513D5" w:rsidRPr="00A86A7A" w:rsidRDefault="00F513D5" w:rsidP="00F513D5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13D5" w:rsidRPr="0026314F" w:rsidRDefault="00F513D5" w:rsidP="00F513D5">
      <w:pPr>
        <w:rPr>
          <w:rFonts w:ascii="Times New Roman" w:eastAsia="Calibri" w:hAnsi="Times New Roman" w:cs="Times New Roman"/>
          <w:sz w:val="24"/>
          <w:szCs w:val="24"/>
        </w:rPr>
      </w:pPr>
      <w:r w:rsidRPr="0026314F">
        <w:rPr>
          <w:rFonts w:ascii="Times New Roman" w:eastAsia="Calibri" w:hAnsi="Times New Roman" w:cs="Times New Roman"/>
          <w:sz w:val="24"/>
          <w:szCs w:val="24"/>
        </w:rPr>
        <w:t>Zamawiający i</w:t>
      </w:r>
      <w:r w:rsidR="007B6355">
        <w:rPr>
          <w:rFonts w:ascii="Times New Roman" w:eastAsia="Calibri" w:hAnsi="Times New Roman" w:cs="Times New Roman"/>
          <w:sz w:val="24"/>
          <w:szCs w:val="24"/>
        </w:rPr>
        <w:t xml:space="preserve">nformuje, że w dniu 14.03.2016 </w:t>
      </w:r>
      <w:bookmarkStart w:id="0" w:name="_GoBack"/>
      <w:bookmarkEnd w:id="0"/>
      <w:r w:rsidRPr="0026314F">
        <w:rPr>
          <w:rFonts w:ascii="Times New Roman" w:eastAsia="Calibri" w:hAnsi="Times New Roman" w:cs="Times New Roman"/>
          <w:sz w:val="24"/>
          <w:szCs w:val="24"/>
        </w:rPr>
        <w:t>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od  wykonawcy wpłynęło zapytanie dotyczące możliwości zmiany treści siwz </w:t>
      </w:r>
      <w:r w:rsidRPr="0026314F">
        <w:rPr>
          <w:rFonts w:ascii="Times New Roman" w:eastAsia="Calibri" w:hAnsi="Times New Roman" w:cs="Times New Roman"/>
          <w:sz w:val="24"/>
          <w:szCs w:val="24"/>
        </w:rPr>
        <w:t>następującej treści: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Times New Roman"/>
          <w:sz w:val="21"/>
          <w:szCs w:val="21"/>
        </w:rPr>
      </w:pPr>
      <w:r>
        <w:rPr>
          <w:rFonts w:ascii="Cambria" w:eastAsia="Calibri" w:hAnsi="Cambria" w:cs="Times New Roman"/>
          <w:sz w:val="21"/>
          <w:szCs w:val="21"/>
        </w:rPr>
        <w:t>„</w:t>
      </w:r>
      <w:r w:rsidRPr="00F513D5">
        <w:rPr>
          <w:rFonts w:ascii="Cambria" w:eastAsia="Calibri" w:hAnsi="Cambria" w:cs="Times New Roman"/>
          <w:sz w:val="21"/>
          <w:szCs w:val="21"/>
        </w:rPr>
        <w:t>Szanowni Państwo,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Times New Roman"/>
          <w:sz w:val="21"/>
          <w:szCs w:val="21"/>
        </w:rPr>
        <w:t>jako Wykonawca zainteresowany złożeniem oferty w powyższym postępowaniu o udzielenie zamówienia publicznego uważam</w:t>
      </w:r>
      <w:r w:rsidRPr="00F513D5">
        <w:rPr>
          <w:rFonts w:ascii="Cambria" w:eastAsia="Calibri" w:hAnsi="Cambria" w:cs="Arial"/>
          <w:sz w:val="21"/>
          <w:szCs w:val="21"/>
        </w:rPr>
        <w:t xml:space="preserve"> iż, nie ma żadnych racji, które wykazywałyby, że podmiot, który wykonywał odrębne inwestycje przedmiotem których była budowa lub przebudowa drogi o wymaganej długości, oświetlenia ulicznego czy odwodnienia ulicznego nie posiada wymaganej wiedzy albo w ogóle nie jest zdolny do realizacji przedmiotowego zamówienia, w porównaniu do wykonawcy, który wykonał jedną inwestycję która łącznie spełnia wszystkie warunki opisane w kwestionowanym postanowieniu SIWZ.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>Wykonawca podnosi, że podstawowym celem określania warunków udziału w postępowaniu w zakresie wiedzy i doświadczenia, jest dopuszczenie do udziału w postępowaniu wykonawców, którzy dają rękojmię należytej realizacji zamówienia. Zamawiający zobowiązany jest ukształtować warunki udziału w postępowaniu w taki sposób, aby realizacja zamówienia nie została powierzona podmiotowi, który nie jest w stanie sprostać jego realizacji. Jednakże Zamawiający dokonując opisu sposobu oceny spełniania warunków udziału w postępowaniu musi również kierować się zasadą określoną w art. 22 ust. 4 ustawy Pzp. Zgodnie z tym przepisem, opis sposobu oceny spełniania warunków udziału w postępowaniu powinien być związany z przedmiotem zamówienia oraz proporcjonalny do przedmiotu zamówienia. W związku z powyższym, Zamawiający może (a właściwie powinien) dopuścić do udziału w postępowaniu wykonawców, którzy posiadają wiedzę i doświadczenie, pozwalające im na prawidłową realizacji zamówienia, jednak warunek określony przez Zamawiającego powinien być proporcjonalny do przedmiotu zamówienia.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>Wobec powyższego Wykonawca stoi na stanowisku, że Zamawiający określił warunki udziału w przedmiotowym postępowaniu w sposób naruszający zasadę uczciwej konkurencji oraz równego traktowania Wykonawców. Zw</w:t>
      </w:r>
      <w:r w:rsidRPr="00F513D5">
        <w:rPr>
          <w:rFonts w:ascii="Cambria" w:eastAsia="Calibri" w:hAnsi="Cambria" w:cs="Times New Roman"/>
          <w:sz w:val="21"/>
          <w:szCs w:val="21"/>
        </w:rPr>
        <w:t>racam się zatem z wnioskiem o zmianę opisu sposobu oceny spełniania warunku udziału w postępowaniu tak aby: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  <w:u w:val="single"/>
        </w:rPr>
      </w:pPr>
      <w:r w:rsidRPr="00F513D5">
        <w:rPr>
          <w:rFonts w:ascii="Cambria" w:eastAsia="Calibri" w:hAnsi="Cambria" w:cs="Times New Roman"/>
          <w:sz w:val="21"/>
          <w:szCs w:val="21"/>
          <w:u w:val="single"/>
        </w:rPr>
        <w:t>Zapis:</w:t>
      </w:r>
    </w:p>
    <w:p w:rsidR="00F513D5" w:rsidRPr="00F513D5" w:rsidRDefault="00F513D5" w:rsidP="00F513D5">
      <w:pPr>
        <w:numPr>
          <w:ilvl w:val="1"/>
          <w:numId w:val="5"/>
        </w:numPr>
        <w:tabs>
          <w:tab w:val="num" w:pos="993"/>
        </w:tabs>
        <w:suppressAutoHyphens/>
        <w:overflowPunct w:val="0"/>
        <w:autoSpaceDE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i/>
          <w:color w:val="000000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minimum 3 robót budowlanych polegających na budowie, przebudowie lub remoncie drogi z tym, że każda z wykazanych robót musi zawierać swym zakresie minimum:</w:t>
      </w:r>
    </w:p>
    <w:p w:rsidR="00F513D5" w:rsidRPr="00F513D5" w:rsidRDefault="00F513D5" w:rsidP="00F513D5">
      <w:pPr>
        <w:tabs>
          <w:tab w:val="num" w:pos="993"/>
        </w:tabs>
        <w:suppressAutoHyphens/>
        <w:overflowPunct w:val="0"/>
        <w:autoSpaceDE w:val="0"/>
        <w:spacing w:after="0" w:line="240" w:lineRule="auto"/>
        <w:ind w:left="993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- wymianę lub ułożenie  nawierzchni bitumicznej o długości minimum 5000 mb lub powierzchni minimum 30 000 m2 każda,</w:t>
      </w:r>
    </w:p>
    <w:p w:rsidR="00F513D5" w:rsidRPr="00F513D5" w:rsidRDefault="00F513D5" w:rsidP="00F513D5">
      <w:pPr>
        <w:tabs>
          <w:tab w:val="num" w:pos="993"/>
        </w:tabs>
        <w:suppressAutoHyphens/>
        <w:overflowPunct w:val="0"/>
        <w:autoSpaceDE w:val="0"/>
        <w:spacing w:after="0" w:line="240" w:lineRule="auto"/>
        <w:ind w:left="993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lastRenderedPageBreak/>
        <w:t>- wykonanie podbudowy drogi,</w:t>
      </w:r>
    </w:p>
    <w:p w:rsidR="00F513D5" w:rsidRPr="00F513D5" w:rsidRDefault="00F513D5" w:rsidP="00F513D5">
      <w:pPr>
        <w:tabs>
          <w:tab w:val="num" w:pos="993"/>
        </w:tabs>
        <w:suppressAutoHyphens/>
        <w:overflowPunct w:val="0"/>
        <w:autoSpaceDE w:val="0"/>
        <w:spacing w:after="0" w:line="240" w:lineRule="auto"/>
        <w:ind w:left="993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- budowę lub przebudowę oświetlenia ulicznego,</w:t>
      </w:r>
    </w:p>
    <w:p w:rsidR="00F513D5" w:rsidRPr="00F513D5" w:rsidRDefault="00F513D5" w:rsidP="00F513D5">
      <w:pPr>
        <w:tabs>
          <w:tab w:val="num" w:pos="993"/>
        </w:tabs>
        <w:suppressAutoHyphens/>
        <w:overflowPunct w:val="0"/>
        <w:autoSpaceDE w:val="0"/>
        <w:spacing w:after="0" w:line="240" w:lineRule="auto"/>
        <w:ind w:left="993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- budowę lub przebudowę odwodnienia ulicznego o długości minimum 500 mb,</w:t>
      </w:r>
    </w:p>
    <w:p w:rsidR="00F513D5" w:rsidRPr="00F513D5" w:rsidRDefault="00F513D5" w:rsidP="00F513D5">
      <w:pPr>
        <w:tabs>
          <w:tab w:val="num" w:pos="993"/>
        </w:tabs>
        <w:suppressAutoHyphens/>
        <w:overflowPunct w:val="0"/>
        <w:autoSpaceDE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b) minimum 2 robót budowlanych polegających na budowie lub przebudowie chodnika lub ścieżki rowerowej z koski brukowej o długości minimum 4000 mb lub  powierzchni minimum 10 000 m2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  <w:u w:val="single"/>
        </w:rPr>
      </w:pPr>
      <w:r w:rsidRPr="00F513D5">
        <w:rPr>
          <w:rFonts w:ascii="Cambria" w:eastAsia="Calibri" w:hAnsi="Cambria" w:cs="Times New Roman"/>
          <w:sz w:val="21"/>
          <w:szCs w:val="21"/>
          <w:u w:val="single"/>
        </w:rPr>
        <w:t>Zastąpić zapisem:</w:t>
      </w:r>
    </w:p>
    <w:p w:rsidR="00F513D5" w:rsidRPr="00F513D5" w:rsidRDefault="00F513D5" w:rsidP="00F513D5">
      <w:pPr>
        <w:numPr>
          <w:ilvl w:val="0"/>
          <w:numId w:val="6"/>
        </w:numPr>
        <w:tabs>
          <w:tab w:val="num" w:pos="993"/>
        </w:tabs>
        <w:suppressAutoHyphens/>
        <w:overflowPunct w:val="0"/>
        <w:autoSpaceDE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minimum 3 robót budowlanych polegających na budowie, przebudowie lub remoncie drogi z tym, że każda z wykazanych robót musi zawierać swym zakresie minimum:</w:t>
      </w:r>
    </w:p>
    <w:p w:rsidR="00F513D5" w:rsidRPr="00F513D5" w:rsidRDefault="00F513D5" w:rsidP="00F513D5">
      <w:pPr>
        <w:suppressAutoHyphens/>
        <w:overflowPunct w:val="0"/>
        <w:autoSpaceDE w:val="0"/>
        <w:spacing w:after="0" w:line="240" w:lineRule="auto"/>
        <w:ind w:left="993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 xml:space="preserve">- wymianę lub ułożenie  nawierzchni bitumicznej o powierzchni minimum 30 000 m2 każda, </w:t>
      </w:r>
    </w:p>
    <w:p w:rsidR="00F513D5" w:rsidRPr="00F513D5" w:rsidRDefault="00F513D5" w:rsidP="00F513D5">
      <w:pPr>
        <w:suppressAutoHyphens/>
        <w:overflowPunct w:val="0"/>
        <w:autoSpaceDE w:val="0"/>
        <w:spacing w:after="0" w:line="240" w:lineRule="auto"/>
        <w:ind w:left="993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- wykonanie podbudowy drogi,</w:t>
      </w:r>
    </w:p>
    <w:p w:rsidR="00F513D5" w:rsidRPr="00F513D5" w:rsidRDefault="00F513D5" w:rsidP="00F513D5">
      <w:pPr>
        <w:numPr>
          <w:ilvl w:val="0"/>
          <w:numId w:val="6"/>
        </w:numPr>
        <w:tabs>
          <w:tab w:val="num" w:pos="993"/>
        </w:tabs>
        <w:suppressAutoHyphens/>
        <w:overflowPunct w:val="0"/>
        <w:autoSpaceDE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budowę lub przebudowę oświetlenia ulicznego,</w:t>
      </w:r>
    </w:p>
    <w:p w:rsidR="00F513D5" w:rsidRPr="00F513D5" w:rsidRDefault="00F513D5" w:rsidP="00F513D5">
      <w:pPr>
        <w:numPr>
          <w:ilvl w:val="0"/>
          <w:numId w:val="6"/>
        </w:numPr>
        <w:tabs>
          <w:tab w:val="num" w:pos="993"/>
        </w:tabs>
        <w:suppressAutoHyphens/>
        <w:overflowPunct w:val="0"/>
        <w:autoSpaceDE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budowę lub przebudowę odwodnienia ulicznego o długości minimum 400 mb,</w:t>
      </w:r>
    </w:p>
    <w:p w:rsidR="00F513D5" w:rsidRPr="00F513D5" w:rsidRDefault="00F513D5" w:rsidP="00F513D5">
      <w:pPr>
        <w:tabs>
          <w:tab w:val="num" w:pos="993"/>
        </w:tabs>
        <w:suppressAutoHyphens/>
        <w:overflowPunct w:val="0"/>
        <w:autoSpaceDE w:val="0"/>
        <w:spacing w:after="0" w:line="240" w:lineRule="auto"/>
        <w:ind w:left="993" w:hanging="284"/>
        <w:contextualSpacing/>
        <w:jc w:val="both"/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</w:pPr>
      <w:r w:rsidRPr="00F513D5">
        <w:rPr>
          <w:rFonts w:ascii="Cambria" w:eastAsia="Times New Roman" w:hAnsi="Cambria" w:cs="Times New Roman"/>
          <w:i/>
          <w:color w:val="0D0D0D"/>
          <w:sz w:val="21"/>
          <w:szCs w:val="21"/>
          <w:lang w:eastAsia="ar-SA"/>
        </w:rPr>
        <w:t>b) minimum 2 robót budowlanych polegających na budowie lub przebudowie chodnika lub ścieżki rowerowej z koski brukowej o powierzchni minimum 4 000 m2</w:t>
      </w:r>
      <w:r w:rsidRPr="00F513D5">
        <w:rPr>
          <w:rFonts w:ascii="Cambria" w:eastAsia="Times New Roman" w:hAnsi="Cambria" w:cs="Times New Roman"/>
          <w:i/>
          <w:color w:val="000000"/>
          <w:sz w:val="21"/>
          <w:szCs w:val="21"/>
          <w:lang w:eastAsia="ar-SA"/>
        </w:rPr>
        <w:t xml:space="preserve"> 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Times New Roman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Times New Roman"/>
          <w:sz w:val="21"/>
          <w:szCs w:val="21"/>
        </w:rPr>
      </w:pPr>
      <w:r w:rsidRPr="00F513D5">
        <w:rPr>
          <w:rFonts w:ascii="Cambria" w:eastAsia="Calibri" w:hAnsi="Cambria" w:cs="Times New Roman"/>
          <w:sz w:val="21"/>
          <w:szCs w:val="21"/>
        </w:rPr>
        <w:t>Wykonawca zwraca przede wszystkim uwagę, iż celem każdej procedury o udzielenie zamówienia publicznego jest wyłonienie przez zamawiającego wykonawcy zdolnego do prawidłowego wykonania zadania. Zamawiający powinien tak prowadzić postępowanie, by zachowane zostały zasady uczciwej konkurencji oraz równego traktowania wykonawców. Z jednej strony więc zamawiający powinien dążyć do jak najszerszego otwarcia postępowania na konkurencję i dopuszczenie do udziału jak największej liczby wykonawców, aby zapewnić sobie ekonomiczne warunki realizacji zamówienia, a z drugiej strony warunki postępowania powinny zapewnić zamawiającemu bezpieczeństwo w wyborze doświadczonego i posiadającego odpowiednią wiedzę wykonawcy.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Times New Roman"/>
          <w:sz w:val="21"/>
          <w:szCs w:val="21"/>
        </w:rPr>
      </w:pPr>
      <w:r w:rsidRPr="00F513D5">
        <w:rPr>
          <w:rFonts w:ascii="Cambria" w:eastAsia="Calibri" w:hAnsi="Cambria" w:cs="Times New Roman"/>
          <w:sz w:val="21"/>
          <w:szCs w:val="21"/>
        </w:rPr>
        <w:t xml:space="preserve">W ocenie wykonawcy, realizacja robót wyżej zaproponowana przez Wykonawcę w zupełności wystarczy do oceny, iż wykonawca posiada właściwe kompetencje do wykonania zamówienia. Jeśli dany wykonawca dysponuje stosownymi referencjami potwierdzającymi, iż wykonał takie roboty w sposób prawidłowy i należyty, to nie ma zasadnych podstaw do wątpliwości, czy kolejną robotę wykona nienależycie. </w:t>
      </w:r>
      <w:r w:rsidRPr="00F513D5">
        <w:rPr>
          <w:rFonts w:ascii="Cambria" w:eastAsia="Calibri" w:hAnsi="Cambria" w:cs="Arial"/>
          <w:sz w:val="21"/>
          <w:szCs w:val="21"/>
        </w:rPr>
        <w:t xml:space="preserve">Kwestionowany warunek jest w ocenie Wykonawcy nieproporcjonalny do przedmiotu zamówienia. Zamawiający poprzez tak szczegółowe opisanie warunków udziału w postpowaniu (z zastrzeżeniem ich wykonania w ramach jednej roboty budowlanej) doprowadził do nieuzasadnionego i nadmiernego ograniczenia kręgu Wykonawców, którzy mogliby ubiegać się o udzielenie im przedmiotowego zamówienia publicznego. W świetle art. 7 ust. 1 ustawy w zw. z art. 22 ust. 4 i 5 Zamawiający ustalając warunki udziału w postępowaniu winien kierować się zasadą, zgodnie z którą, ustalając warunki udziału w postępowaniu musi zachować właściwe proporcje do wielkości zamówienia, do jego zakresu, wartości i stopnia skomplikowania. 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  <w:u w:val="single"/>
        </w:rPr>
      </w:pPr>
      <w:r w:rsidRPr="00F513D5">
        <w:rPr>
          <w:rFonts w:ascii="Cambria" w:eastAsia="Calibri" w:hAnsi="Cambria" w:cs="Arial"/>
          <w:sz w:val="21"/>
          <w:szCs w:val="21"/>
        </w:rPr>
        <w:t>Wykonawca wskazuje, że wykładnia zaprezentowana powyżej jest zgodna z orzecznictwem Izby. Tytułem przykładu warto wskazać, że w myśl wyroku KIO z 13 maja 2015 r. o sygn. akt: KIO 874/15, KIO 888/15 „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to Zamawiający jest gospodarzem prowadzonego przez siebie postępowania, w związku z czym, dla zabezpieczenia prawidłowego jego przebiegu, zobowiązany jest do wymagania od potencjalnych wykonawców, starających się o udzielenie zamówienia publicznego spełnienia takich warunków udziału w postępowaniu, które będą adekwatne do tego przedmiotu, ale z zapewnieniem konkurencyjnych reguł postępowania. Sformułowanie odpowiednich wymogów udziału w postępowaniu wymaga wyważenia z jednej strony uzasadnionych potrzeb Zamawiającego, z jednoczesnym umożliwieniem stosunkowo szerokiej grupie wykonawców dostępu do tego zamówienia. Postawiony warunek udziału w postępowaniu w zakresie wiedzy i doświadczenia ma być bowiem miernikiem, wskazującym, że wykonawca, który w swej przeszłości zawodowej wykonywał określone zadania, zbliżone zakresem, charakterystyką do tego, które jest przedmiotem zamówienia wykona je w sposób prawidłowy.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Nie oznacza to przy tym, że te zadania mają być tożsame, identyczne z przedmiotem zamówienia. Ważne raczej by były one reprezentatywne do potwierdzenia zdolności wykonawcy do realizacji zamówienia, by obejmowały one te elementy, które są istotne z perspektywy ustalenia, że wykonawca posiada odpowiednie doświadczenie.”</w:t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lastRenderedPageBreak/>
        <w:t>Wykonawca podnosi, że oczywistym jest to, że w interesie zamawiającego leży, by jego zamówienie realizowane było przez wykonawcę dysponującego niezbędną wiedzą i doświadczeniem nabytym przy wykonywaniu prac o takim samym lub podobnym charakterze. Ma więc Zamawiający prawo do określenia w specyfikacji istotnych warunków zamówienia warunku udziału w postępowaniu i opisu sposobu dokonywania oceny spełniania tych warunków. Jednakże jak słusznie zauważył Wojewódzki Sąd Administracyjny w wyroku z dnia 23 grudnia 2014 r., o sygn.. akt II SA/Go 828/14 „</w:t>
      </w:r>
      <w:r w:rsidRPr="00F513D5">
        <w:rPr>
          <w:rFonts w:ascii="Cambria" w:eastAsia="Calibri" w:hAnsi="Cambria" w:cs="Arial"/>
          <w:i/>
          <w:sz w:val="21"/>
          <w:szCs w:val="21"/>
        </w:rPr>
        <w:t>Prawo to nie daje jednak zamawiającemu nieograniczonej swobody we wprowadzaniu tych warunków, gdyż przepisy uPzp nakazują przygotowanie i przeprowadzenie postępowania o udzielenie zamówienia w sposób zapewniający zachowanie uczciwej konkurencji oraz równe traktowanie wykonawców (art. 7 uPzp), tym samym zakazują wprowadzanie nieuzasadnionych barier ograniczających oferentom wzięcie udziału w przetargu.”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>Wykonawca uznaje prawo Zamawiającego do opisu warunków udziału w postępowaniu w taki sposób aby w realizacji przedmiotowego zamówienia wzięły udział podmioty dające rękojmie prawidłowego wykonania zadania. Jednakże, nie znajduje uzasadnienia stawianie tak szczegółowo opisanych warunków które należy spełnić łącznie. W ocenie Odwołującego kwestionowany warunek ogranicza jedynie krąg wykonawców, którzy będą mogli się ubiegać o zamówienie, zaś w interesie samego Zamawiającego jest, to aby jak największa liczba wykonawców mogła złożyć swoje oferty  co stwarza lepsze warunki realizacji inwestycji.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Wykonawca pragnie również podkreślić, że z żadnego przepisu ustawy nie wynika, iż doświadczenie, którym mają się wykazać wykonawcy ubiegający się o zamówienie, musi być tożsame czy choćby bardzo zbliżone do przedmiotu zamówienia. Przeciwnie, z orzecznictwa KIO jasno wynika, że Zamawiający formułując warunek w zakresie wiedzy i doświadczenia powinien się skupić na najbardziej istotnych kwestiach, tj. faktycznie przesądzających o zdolności do wykonania danego zamówienia albo o jej braku. Powyższe stanowisko Izba wyraziła w szeregu swoich orzeczeń, zatem jedynie tytułem przykładu można wskazać na:   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>a) wyrok z dnia 5 grudnia 2013 r., sygn. akt KIO 2681/13: „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Sformułowanie odpowiednich warunków udziału w postępowaniu wymaga wyważenia z jednej strony uzasadnionych potrzeb Zamawiającego,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z jednoczesnym umożliwieniem stosunkowo szerokiej grupie wykonawców dostępu do tego zamówienia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. Postawiony warunek udziału w postępowaniu w zakresie wiedzy i doświadczenia ma być bowiem miernikiem, wskazującym, że wykonawca, który w swej przeszłości zawodowej wykonywał określone zadania, zbliżone zakresem, charakterystyką do tego, które jest przedmiotem zamówienia wykona je w sposób prawidłowy.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Nie oznacza to przy tym, że te zadania mają być tożsame, identyczne z przedmiotem zamówienia. Ważne raczej by były one reprezentatywne do potwierdzenia zdolności wykonawcy do realizacji zamówienia, by obejmowały one te elementy, które są istotne z perspektywy ustalenia, że wykonawca posiada odpowiednie doświadczenie</w:t>
      </w:r>
      <w:r w:rsidRPr="00F513D5">
        <w:rPr>
          <w:rFonts w:ascii="Cambria" w:eastAsia="Calibri" w:hAnsi="Cambria" w:cs="Arial"/>
          <w:i/>
          <w:sz w:val="21"/>
          <w:szCs w:val="21"/>
        </w:rPr>
        <w:t>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i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b) wyrok z dnia 23 sierpnia 2013 r., Sygn. akt: KIO 1463/13, KIO 1468/13, KIO 1476/13: 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„Izba stoi na stanowisku, że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opis sposobu dokonywania oceny spełniania warunków udziału w postępowaniu nie musi być bardzo zbliżony do przedmiotu zamówienia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. Ustawodawca nakazuje ustalić proporcję do przedmiotu zamówienia.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Prawidłowo sformułowany opis sposobu dokonywania oceny spełniania warunku udziału w postępowaniu powinien pozwalać zamawiającemu na zweryfikowanie najistotniejszych dla niego elementu doświadczenia, które mogą mieć wpływ na prawidłową realizację przedmiotu zamówienia w niniejszym postępowaniu, ale zamawiający nie ma obowiązku weryfikowania wszystkich takich elementów.</w:t>
      </w:r>
      <w:r w:rsidRPr="00F513D5">
        <w:rPr>
          <w:rFonts w:ascii="Cambria" w:eastAsia="Calibri" w:hAnsi="Cambria" w:cs="Arial"/>
          <w:i/>
          <w:sz w:val="21"/>
          <w:szCs w:val="21"/>
        </w:rPr>
        <w:t>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c) wyrok z dnia 24 czerwca 2013 roku, sygn. akt: KIO 1348/13: 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„zdaniem Izby opis sposobu dokonywania oceny spełniania warunków musi pozostawać proporcjonalny do przedmiotu zamówienia,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odnosić się do podstawowych elementów przedmiotu zamówienia, istotnych z punktu widzenia osiągnięcia celu przedsięwzięcia. Takich wymogów co do zasady nie spełnia wymaganie, aby wykonawcy ubiegający się o udzielenie zamówienia legitymowali się doświadczeniem i wiedzą tożsamą jak cały przedmiot zamówienia</w:t>
      </w:r>
      <w:r w:rsidRPr="00F513D5">
        <w:rPr>
          <w:rFonts w:ascii="Cambria" w:eastAsia="Calibri" w:hAnsi="Cambria" w:cs="Arial"/>
          <w:i/>
          <w:sz w:val="21"/>
          <w:szCs w:val="21"/>
        </w:rPr>
        <w:t>, jak i odnoszącą się do detali zamówienia opisanych przez Zamawiającego, zwłaszcza, że zamówienie jest zamówieniem specyficznym i po raz pierwszy realizowanym w Polsce.”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i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d) uchwałę Krajowej Izby Odwoławczej z dnia 21 lutego 2012 roku, sygn. akt KIO/KU 20/12: 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„ponownie należy wyjaśnić, że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 xml:space="preserve">słowo „proporcjonalny” nie oznacza „tożsamy” czy też „identyczny” jak w 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lastRenderedPageBreak/>
        <w:t>przedmiocie zamówienia. Warunek jest bowiem proporcjonalny, gdy umożliwia złożenie oferty każdemu, kto jest w stanie wykonać dane zamówienie</w:t>
      </w:r>
      <w:r w:rsidRPr="00F513D5">
        <w:rPr>
          <w:rFonts w:ascii="Cambria" w:eastAsia="Calibri" w:hAnsi="Cambria" w:cs="Arial"/>
          <w:i/>
          <w:sz w:val="21"/>
          <w:szCs w:val="21"/>
        </w:rPr>
        <w:t>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i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e) wyrok Krajowej Izby Odwoławczej z dnia 13 lipca 2011 r., sygn. akt KIO 1400/11: </w:t>
      </w:r>
      <w:r w:rsidRPr="00F513D5">
        <w:rPr>
          <w:rFonts w:ascii="Cambria" w:eastAsia="Calibri" w:hAnsi="Cambria" w:cs="Arial"/>
          <w:i/>
          <w:sz w:val="21"/>
          <w:szCs w:val="21"/>
        </w:rPr>
        <w:t>„</w:t>
      </w:r>
      <w:r w:rsidRPr="00F513D5">
        <w:rPr>
          <w:rFonts w:ascii="Cambria" w:eastAsia="Calibri" w:hAnsi="Cambria" w:cs="Arial"/>
          <w:i/>
          <w:sz w:val="21"/>
          <w:szCs w:val="21"/>
          <w:u w:val="single"/>
        </w:rPr>
        <w:t>przepisy p.z.p. nie wymagają, by warunki, których spełnienie umożliwia wzięcie udziału w postępowaniu o udzielenie zamówienie publicznego, w tym wypadku w zakresie wiedzy i doświadczenia ściśle odpowiadały przedmiotowi zamówienia. Usługa, której wykonanie (wykonywanie) należy wykazać jako spełnienie warunku w zakresie wiedzy i doświadczenia nie musi być tożsama z usługą stanowiącą przedmiot zamówienia</w:t>
      </w:r>
      <w:r w:rsidRPr="00F513D5">
        <w:rPr>
          <w:rFonts w:ascii="Cambria" w:eastAsia="Calibri" w:hAnsi="Cambria" w:cs="Arial"/>
          <w:i/>
          <w:sz w:val="21"/>
          <w:szCs w:val="21"/>
        </w:rPr>
        <w:t>, ma ono być jedynie związana z przedmiotem zamówienia oraz do niego proporcjonalna.”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i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f) wyrok Krajowej Izby Odwoławczej z dnia 13 maja 2011 r., o sygn. akt KIO 920/11 zgodnie z którym </w:t>
      </w:r>
      <w:r w:rsidRPr="00F513D5">
        <w:rPr>
          <w:rFonts w:ascii="Cambria" w:eastAsia="Calibri" w:hAnsi="Cambria" w:cs="Arial"/>
          <w:i/>
          <w:sz w:val="21"/>
          <w:szCs w:val="21"/>
        </w:rPr>
        <w:t>„1. Opisu sposobu dokonania oceny spełniania warunków udziału przy braku ich precyzyjności i skonkretyzowania nie można przenosić na zapisy SIWZ, dotyczące przedmiotu zamówienia. Taki sposób rozumienia postanowień SIWZ dotyczących opisu sposobu dokonania oceny spełniania warunków udziału w postępowaniu prowadzi wprost do naruszenia art. 22 ust. 4 p.z.p., który pozwala na dokonanie zamawiającemu tego opisu proporcjonalnie do opisu przedmiotu zamówienia, co nie może oznaczać, że zakres opisu warunku ma być tożsamy z opisem przedmiotu zamówienia.”;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i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>g) wyrok Krajowej Izby Odwoławczej z dnia 11 stycznia 2011 r. o sygn. akt KIO 2792/10 w myśl którego</w:t>
      </w:r>
      <w:r w:rsidRPr="00F513D5">
        <w:rPr>
          <w:rFonts w:ascii="Cambria" w:eastAsia="Calibri" w:hAnsi="Cambria" w:cs="Arial"/>
          <w:i/>
          <w:sz w:val="21"/>
          <w:szCs w:val="21"/>
        </w:rPr>
        <w:t xml:space="preserve"> „Przepis art. 22 ust. 4 p.z.p. stanowi, że opis sposobu dokonania oceny spełniania warunków udziału w postępowaniu powinien być związany z przedmiotem zamówienia i proporcjonalny w stosunku do niego. To oznacza, że opis warunku ma znajdować oparcie w opisie przedmiotu zamówienia, nie może natomiast oznaczać, że opis warunku jest tożsamy z opisem przedmiotu zamówienia.”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i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h) wyrok Zespołu Arbitrów z 1 września 2006 r., o sygn. akt UZP/ZO/0-2406/06 w którym za niezgodne z prawem uznano </w:t>
      </w:r>
      <w:r w:rsidRPr="00F513D5">
        <w:rPr>
          <w:rFonts w:ascii="Cambria" w:eastAsia="Calibri" w:hAnsi="Cambria" w:cs="Arial"/>
          <w:i/>
          <w:sz w:val="21"/>
          <w:szCs w:val="21"/>
        </w:rPr>
        <w:t>„takie warunki, które będą ograniczać krąg wykonawców przez zaproszenie do postępowania tylko tych, którzy wykażą się doświadczeniem w robotach budowlanych tożsamych z przedmiotem zamówienia publicznego.”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ab/>
      </w:r>
    </w:p>
    <w:p w:rsidR="00F513D5" w:rsidRPr="00F513D5" w:rsidRDefault="00F513D5" w:rsidP="00F513D5">
      <w:pPr>
        <w:spacing w:after="0" w:line="240" w:lineRule="auto"/>
        <w:ind w:firstLine="708"/>
        <w:jc w:val="both"/>
        <w:rPr>
          <w:rFonts w:ascii="Cambria" w:eastAsia="Calibri" w:hAnsi="Cambria" w:cs="Arial"/>
          <w:sz w:val="21"/>
          <w:szCs w:val="21"/>
        </w:rPr>
      </w:pPr>
      <w:r w:rsidRPr="00F513D5">
        <w:rPr>
          <w:rFonts w:ascii="Cambria" w:eastAsia="Calibri" w:hAnsi="Cambria" w:cs="Arial"/>
          <w:sz w:val="21"/>
          <w:szCs w:val="21"/>
        </w:rPr>
        <w:t xml:space="preserve">Odnosząc powyższe do niniejszej sprawy podkreślić należy, że do wykonania przedmiotowego zamówienia jak najbardziej zdolni są wykonawcy, którzy legitymują się doświadczeniem wskazanym w propozycji nowego brzmienia warunku udziału w postępowaniu, gdyż warunki postawione w tym zakresie przez Zamawiającego wymaganie doświadczenia w tym ostatnim zakresie uznać należy za nadmierne i niezasadne. </w:t>
      </w:r>
      <w:r w:rsidRPr="00F513D5">
        <w:rPr>
          <w:rFonts w:ascii="Cambria" w:eastAsia="Calibri" w:hAnsi="Cambria" w:cs="Times New Roman"/>
          <w:sz w:val="21"/>
          <w:szCs w:val="21"/>
        </w:rPr>
        <w:t>Podsumowując, niewielka zmiana polegająca na zmniejszeniu wymagania co do robót budowlanych nadal pozwoli zamawiającemu na wyłonienie odpowiedniego wykonawcy i nie wpływając na bezpieczeństwo zamawiającego umożliwi wystartowanie w postępowaniu większej ilości wykonawców, co przyczyni się do poprawy konkurencyjności. Nie bez znaczenia jest również to, iż w ten sposób w postępowaniu będzie mógł wziąć udział podmiot działający na rynku lokalnym.</w:t>
      </w:r>
    </w:p>
    <w:p w:rsidR="00F513D5" w:rsidRPr="00F513D5" w:rsidRDefault="00F513D5" w:rsidP="00F513D5">
      <w:pPr>
        <w:spacing w:after="0" w:line="240" w:lineRule="auto"/>
        <w:ind w:left="4536"/>
        <w:jc w:val="center"/>
        <w:rPr>
          <w:rFonts w:ascii="Cambria" w:eastAsia="Calibri" w:hAnsi="Cambria" w:cs="Times New Roman"/>
          <w:sz w:val="21"/>
          <w:szCs w:val="21"/>
        </w:rPr>
      </w:pPr>
    </w:p>
    <w:p w:rsidR="00F513D5" w:rsidRPr="00F513D5" w:rsidRDefault="00F513D5" w:rsidP="00F513D5">
      <w:pPr>
        <w:spacing w:after="0" w:line="240" w:lineRule="auto"/>
        <w:ind w:left="4536"/>
        <w:jc w:val="center"/>
        <w:rPr>
          <w:rFonts w:ascii="Cambria" w:eastAsia="Calibri" w:hAnsi="Cambria" w:cs="Times New Roman"/>
          <w:sz w:val="21"/>
          <w:szCs w:val="21"/>
        </w:rPr>
      </w:pPr>
    </w:p>
    <w:p w:rsidR="00922DD8" w:rsidRDefault="00F513D5" w:rsidP="00922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eastAsia="Calibri" w:hAnsi="Cambria" w:cs="Times New Roman"/>
          <w:sz w:val="21"/>
          <w:szCs w:val="21"/>
        </w:rPr>
        <w:t>W odpowiedzi zamawiający</w:t>
      </w:r>
      <w:r w:rsidR="00922DD8" w:rsidRPr="00480B79">
        <w:rPr>
          <w:rFonts w:ascii="Times New Roman" w:hAnsi="Times New Roman" w:cs="Times New Roman"/>
          <w:sz w:val="24"/>
          <w:szCs w:val="24"/>
        </w:rPr>
        <w:t xml:space="preserve"> działając na podstawie art. 38 ust. 4 ustawy Prawo zamówień publicznych (Dz. U. z 2015 r. poz 2164), zwanej dalej</w:t>
      </w:r>
      <w:r w:rsidR="00922DD8">
        <w:rPr>
          <w:rFonts w:ascii="Times New Roman" w:hAnsi="Times New Roman" w:cs="Times New Roman"/>
          <w:sz w:val="24"/>
          <w:szCs w:val="24"/>
        </w:rPr>
        <w:t xml:space="preserve"> ustawą zmienia treść specyfikacji istotnych warunków zamówienia i z jej treści wykreśla</w:t>
      </w:r>
    </w:p>
    <w:p w:rsidR="00922DD8" w:rsidRPr="00480B79" w:rsidRDefault="00922DD8" w:rsidP="00922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art. 4 § 1 ust. 3 pkt 2 w dotychczasowym brzmieniu i jednocześnie wprowadza art. 4 § 1 ust. 3 pkt 2 w nowym następującym brzmieniu:</w:t>
      </w:r>
    </w:p>
    <w:p w:rsidR="00922DD8" w:rsidRPr="00922DD8" w:rsidRDefault="00922DD8" w:rsidP="00922DD8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posiadania wiedzy i doświadczenia;</w:t>
      </w:r>
    </w:p>
    <w:p w:rsidR="00922DD8" w:rsidRPr="00922DD8" w:rsidRDefault="00922DD8" w:rsidP="00922DD8">
      <w:pPr>
        <w:suppressAutoHyphens/>
        <w:overflowPunct w:val="0"/>
        <w:autoSpaceDE w:val="0"/>
        <w:spacing w:after="0" w:line="360" w:lineRule="auto"/>
        <w:ind w:left="7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wykaże, że w okresie ostatnich pięciu lat przed upływem terminu składania ofert, a jeżeli okre</w:t>
      </w:r>
      <w:r w:rsidR="000234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 prowadzenia działalności jest</w:t>
      </w: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krótszy – w tym okresie, wykonał roboty budowlane w zakresie niezbędnym do wykazania spełniania warunku wiedzy i doświadczenia. Przez roboty w zakresie niezbędnym do wykazania </w:t>
      </w: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spełniania warunku wiedzy i doświadczenia zamawiający rozumie  wykonanie łącznie:</w:t>
      </w:r>
    </w:p>
    <w:p w:rsidR="00922DD8" w:rsidRPr="00922DD8" w:rsidRDefault="00922DD8" w:rsidP="00922DD8">
      <w:pPr>
        <w:numPr>
          <w:ilvl w:val="1"/>
          <w:numId w:val="7"/>
        </w:num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minimum 3 robót budowlanych polegających na budowie, </w:t>
      </w:r>
      <w:r w:rsidR="0002347E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rozbudowie, </w:t>
      </w: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przebudowie lub remoncie drogi z tym, że każda z wykazanych robót musi zawierać swym zakresie minimum: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wymianę lub ułożenie  nawierzchni bitumicznej o długości minimum 5000 mb lub powierzchni minimum 30 000 m2 każda,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wykonanie podbudowy drogi,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oświetlenia ulicznego,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3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odwodnienia ulicznego o długości minimum 500 mb,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b) minimum 2 robót budowlanych polegających na budowie lub przebudowie</w:t>
      </w:r>
      <w:r w:rsidR="00465139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</w:t>
      </w:r>
      <w:r w:rsidR="00465139"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chodnika lub ścieżki rowerowej z kos</w:t>
      </w:r>
      <w:r w:rsidR="00465139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ki brukowej o długości minimum 1</w:t>
      </w:r>
      <w:r w:rsidR="00465139"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00</w:t>
      </w:r>
      <w:r w:rsidR="00465139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0 mb lub  powierzchni minimum 4</w:t>
      </w:r>
      <w:r w:rsidR="00465139"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000 m2</w:t>
      </w: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1416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Dopuszcza się możliwość wykazania w jednym zrealizowanych zadaniu robót wymienionych w lit. a i lit. b.</w:t>
      </w:r>
    </w:p>
    <w:p w:rsidR="00F513D5" w:rsidRPr="00922DD8" w:rsidRDefault="00922DD8" w:rsidP="00922DD8">
      <w:pPr>
        <w:pStyle w:val="Akapitzlist"/>
        <w:numPr>
          <w:ilvl w:val="0"/>
          <w:numId w:val="7"/>
        </w:numPr>
        <w:jc w:val="both"/>
        <w:rPr>
          <w:rFonts w:ascii="Cambria" w:hAnsi="Cambria" w:cs="Times New Roman"/>
          <w:sz w:val="21"/>
          <w:szCs w:val="21"/>
        </w:rPr>
      </w:pPr>
      <w:r w:rsidRPr="00922DD8">
        <w:rPr>
          <w:rFonts w:ascii="Times New Roman" w:hAnsi="Times New Roman" w:cs="Times New Roman"/>
          <w:sz w:val="24"/>
          <w:szCs w:val="24"/>
        </w:rPr>
        <w:t>art. 4 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22DD8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2DD8">
        <w:rPr>
          <w:rFonts w:ascii="Times New Roman" w:hAnsi="Times New Roman" w:cs="Times New Roman"/>
          <w:sz w:val="24"/>
          <w:szCs w:val="24"/>
        </w:rPr>
        <w:t xml:space="preserve"> pkt 2 w dotychczasowym brzmieniu i jednocześnie wprowadza art. 4 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22DD8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2DD8">
        <w:rPr>
          <w:rFonts w:ascii="Times New Roman" w:hAnsi="Times New Roman" w:cs="Times New Roman"/>
          <w:sz w:val="24"/>
          <w:szCs w:val="24"/>
        </w:rPr>
        <w:t xml:space="preserve"> pkt 2 w nowym następującym brzmieniu: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</w:rPr>
      </w:pPr>
    </w:p>
    <w:p w:rsidR="00922DD8" w:rsidRPr="00922DD8" w:rsidRDefault="00922DD8" w:rsidP="00922DD8">
      <w:pPr>
        <w:numPr>
          <w:ilvl w:val="0"/>
          <w:numId w:val="8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1"/>
          <w:szCs w:val="21"/>
        </w:rPr>
        <w:t xml:space="preserve">„2) </w:t>
      </w:r>
      <w:r w:rsidRPr="00922D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nr 2</w:t>
      </w: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oświadczenie - WYKAZ ROBÓT BUDOWLANYCH – wraz z Wykaz robót budowlanych wykonanych w okresie ostatnich pięciu lat przed upływem terminu składania ofert,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</w:t>
      </w:r>
    </w:p>
    <w:p w:rsidR="00922DD8" w:rsidRPr="00922DD8" w:rsidRDefault="00922DD8" w:rsidP="00922DD8">
      <w:pPr>
        <w:suppressAutoHyphens/>
        <w:overflowPunct w:val="0"/>
        <w:autoSpaceDE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Przez roboty w zakresie niezbędnym do wykazania spełniania warunku wiedzy i doświadczenia zamawiający rozumie  wykonanie łącznie:</w:t>
      </w:r>
    </w:p>
    <w:p w:rsidR="00922DD8" w:rsidRPr="00922DD8" w:rsidRDefault="00922DD8" w:rsidP="00922DD8">
      <w:pPr>
        <w:numPr>
          <w:ilvl w:val="2"/>
          <w:numId w:val="8"/>
        </w:numPr>
        <w:tabs>
          <w:tab w:val="num" w:pos="1418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minimum 3 robót budowlanych polegających na budowie, </w:t>
      </w:r>
      <w:r w:rsidR="0002347E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rozbudowie, </w:t>
      </w: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przebudowie lub remoncie drogi z tym, że każda z wykazanych robót musi zawierać swym zakresie minimum: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wymianę lub ułożenie  nawierzchni bitumicznej o długości minimum 5000 mb lub powierzchni minimum 30 000 m2 każda,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wykonanie podbudowy drogi,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- budowę lub przebudowę oświetlenia ulicznego,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lastRenderedPageBreak/>
        <w:t>- budowę lub przebudowę odwodnienia ulicznego o długości minimum 500 mb,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b) minimum 2 robót budowlanych polegających na budowie lub przebudowie chodnika lub ścieżki rowerowej z kos</w:t>
      </w:r>
      <w:r w:rsidR="00465139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ki brukowej o długości minimum 1</w:t>
      </w: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00</w:t>
      </w:r>
      <w:r w:rsidR="00465139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0 mb lub  powierzchni minimum 4</w:t>
      </w: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 xml:space="preserve"> 000 m2</w:t>
      </w: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,</w:t>
      </w:r>
    </w:p>
    <w:p w:rsidR="00922DD8" w:rsidRPr="00922DD8" w:rsidRDefault="00922DD8" w:rsidP="00922DD8">
      <w:pPr>
        <w:tabs>
          <w:tab w:val="left" w:pos="720"/>
        </w:tabs>
        <w:suppressAutoHyphens/>
        <w:overflowPunct w:val="0"/>
        <w:autoSpaceDE w:val="0"/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</w:pPr>
      <w:r w:rsidRPr="00922DD8">
        <w:rPr>
          <w:rFonts w:ascii="Times New Roman" w:eastAsia="Times New Roman" w:hAnsi="Times New Roman" w:cs="Times New Roman"/>
          <w:color w:val="0D0D0D"/>
          <w:sz w:val="24"/>
          <w:szCs w:val="24"/>
          <w:lang w:eastAsia="ar-SA"/>
        </w:rPr>
        <w:t>Dopuszcza się możliwość wykazania w jednym zrealizowanych zadaniu robót wymienionych w lit. a i lit. b.</w:t>
      </w:r>
    </w:p>
    <w:p w:rsidR="00922DD8" w:rsidRPr="00922DD8" w:rsidRDefault="00922DD8" w:rsidP="00922DD8">
      <w:pPr>
        <w:tabs>
          <w:tab w:val="left" w:pos="720"/>
        </w:tabs>
        <w:spacing w:after="0" w:line="324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Dowodami, o których mowa powyżej, są:</w:t>
      </w:r>
    </w:p>
    <w:p w:rsidR="00922DD8" w:rsidRPr="00922DD8" w:rsidRDefault="00922DD8" w:rsidP="00922DD8">
      <w:pPr>
        <w:numPr>
          <w:ilvl w:val="0"/>
          <w:numId w:val="9"/>
        </w:numPr>
        <w:tabs>
          <w:tab w:val="left" w:pos="720"/>
          <w:tab w:val="num" w:pos="1260"/>
        </w:tabs>
        <w:spacing w:before="60" w:after="60" w:line="324" w:lineRule="auto"/>
        <w:ind w:left="1259" w:hanging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poświadczenie</w:t>
      </w:r>
    </w:p>
    <w:p w:rsidR="00922DD8" w:rsidRPr="00922DD8" w:rsidRDefault="00922DD8" w:rsidP="00922DD8">
      <w:pPr>
        <w:numPr>
          <w:ilvl w:val="0"/>
          <w:numId w:val="9"/>
        </w:numPr>
        <w:tabs>
          <w:tab w:val="left" w:pos="720"/>
          <w:tab w:val="num" w:pos="1260"/>
        </w:tabs>
        <w:spacing w:before="60" w:after="60" w:line="324" w:lineRule="auto"/>
        <w:ind w:left="1259" w:hanging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inne dokumenty – jeżeli z uzasadnionych przyczyn o obiektywnym charakterze wykonawca nie jest w stanie uzyskać poświadczenia, o którym mowa w lit. a, </w:t>
      </w:r>
    </w:p>
    <w:p w:rsidR="00922DD8" w:rsidRPr="00922DD8" w:rsidRDefault="00922DD8" w:rsidP="00922DD8">
      <w:pPr>
        <w:tabs>
          <w:tab w:val="left" w:pos="720"/>
        </w:tabs>
        <w:spacing w:after="0" w:line="324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2D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gdy zamawiający jest podmiotem, na rzecz którego roboty budowlane wykazane w wykazie robót budowlanych zostały wcześniej wykonane, wykonawca nie ma obowiązku przedkładania powyższych dowodów.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</w:p>
    <w:p w:rsidR="00F513D5" w:rsidRPr="00F513D5" w:rsidRDefault="00F513D5" w:rsidP="00F513D5">
      <w:pPr>
        <w:spacing w:after="0" w:line="240" w:lineRule="auto"/>
        <w:jc w:val="both"/>
        <w:rPr>
          <w:rFonts w:ascii="Cambria" w:eastAsia="Calibri" w:hAnsi="Cambria" w:cs="Times New Roman"/>
          <w:sz w:val="21"/>
          <w:szCs w:val="21"/>
        </w:rPr>
      </w:pPr>
    </w:p>
    <w:p w:rsidR="009E2AA3" w:rsidRDefault="009E2AA3"/>
    <w:sectPr w:rsidR="009E2AA3" w:rsidSect="004B12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C7" w:rsidRDefault="0002347E">
      <w:pPr>
        <w:spacing w:after="0" w:line="240" w:lineRule="auto"/>
      </w:pPr>
      <w:r>
        <w:separator/>
      </w:r>
    </w:p>
  </w:endnote>
  <w:endnote w:type="continuationSeparator" w:id="0">
    <w:p w:rsidR="004F5EC7" w:rsidRDefault="000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8225"/>
      <w:docPartObj>
        <w:docPartGallery w:val="Page Numbers (Bottom of Page)"/>
        <w:docPartUnique/>
      </w:docPartObj>
    </w:sdtPr>
    <w:sdtEndPr/>
    <w:sdtContent>
      <w:p w:rsidR="00F73083" w:rsidRDefault="004651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55">
          <w:rPr>
            <w:noProof/>
          </w:rPr>
          <w:t>1</w:t>
        </w:r>
        <w:r>
          <w:fldChar w:fldCharType="end"/>
        </w:r>
      </w:p>
    </w:sdtContent>
  </w:sdt>
  <w:p w:rsidR="00F73083" w:rsidRDefault="007B6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C7" w:rsidRDefault="0002347E">
      <w:pPr>
        <w:spacing w:after="0" w:line="240" w:lineRule="auto"/>
      </w:pPr>
      <w:r>
        <w:separator/>
      </w:r>
    </w:p>
  </w:footnote>
  <w:footnote w:type="continuationSeparator" w:id="0">
    <w:p w:rsidR="004F5EC7" w:rsidRDefault="00023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64D"/>
    <w:multiLevelType w:val="hybridMultilevel"/>
    <w:tmpl w:val="8C44B4EA"/>
    <w:lvl w:ilvl="0" w:tplc="18607E12">
      <w:start w:val="1"/>
      <w:numFmt w:val="lowerLetter"/>
      <w:lvlText w:val="%1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1" w:tplc="714E4A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B7378"/>
    <w:multiLevelType w:val="hybridMultilevel"/>
    <w:tmpl w:val="547A3B16"/>
    <w:lvl w:ilvl="0" w:tplc="D564F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7E3BAA">
      <w:start w:val="2"/>
      <w:numFmt w:val="decimal"/>
      <w:lvlText w:val="%2."/>
      <w:lvlJc w:val="left"/>
      <w:pPr>
        <w:tabs>
          <w:tab w:val="num" w:pos="1695"/>
        </w:tabs>
        <w:ind w:left="1695" w:hanging="25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 w:tplc="E8186D08">
      <w:start w:val="1"/>
      <w:numFmt w:val="lowerLetter"/>
      <w:lvlText w:val="%3)"/>
      <w:lvlJc w:val="left"/>
      <w:pPr>
        <w:tabs>
          <w:tab w:val="num" w:pos="2697"/>
        </w:tabs>
        <w:ind w:left="234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921513"/>
    <w:multiLevelType w:val="hybridMultilevel"/>
    <w:tmpl w:val="7A60553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B43BA"/>
    <w:multiLevelType w:val="hybridMultilevel"/>
    <w:tmpl w:val="045EEF72"/>
    <w:lvl w:ilvl="0" w:tplc="E8186D08">
      <w:start w:val="1"/>
      <w:numFmt w:val="lowerLetter"/>
      <w:lvlText w:val="%1)"/>
      <w:lvlJc w:val="left"/>
      <w:pPr>
        <w:tabs>
          <w:tab w:val="num" w:pos="1794"/>
        </w:tabs>
        <w:ind w:left="1437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50378"/>
    <w:multiLevelType w:val="hybridMultilevel"/>
    <w:tmpl w:val="D71AA52C"/>
    <w:lvl w:ilvl="0" w:tplc="0D387C1A">
      <w:start w:val="1"/>
      <w:numFmt w:val="lowerLetter"/>
      <w:lvlText w:val="%1)"/>
      <w:lvlJc w:val="left"/>
      <w:pPr>
        <w:tabs>
          <w:tab w:val="num" w:pos="3213"/>
        </w:tabs>
        <w:ind w:left="2856" w:firstLine="0"/>
      </w:pPr>
      <w:rPr>
        <w:rFonts w:hint="default"/>
      </w:rPr>
    </w:lvl>
    <w:lvl w:ilvl="1" w:tplc="7B68AA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3216D"/>
    <w:multiLevelType w:val="hybridMultilevel"/>
    <w:tmpl w:val="346CA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8F4034"/>
    <w:multiLevelType w:val="hybridMultilevel"/>
    <w:tmpl w:val="13085F3A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7E567675"/>
    <w:multiLevelType w:val="hybridMultilevel"/>
    <w:tmpl w:val="13085F3A"/>
    <w:lvl w:ilvl="0" w:tplc="D564F34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8186D08">
      <w:start w:val="1"/>
      <w:numFmt w:val="lowerLetter"/>
      <w:lvlText w:val="%2)"/>
      <w:lvlJc w:val="left"/>
      <w:pPr>
        <w:tabs>
          <w:tab w:val="num" w:pos="1794"/>
        </w:tabs>
        <w:ind w:left="1437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D6C0E08">
      <w:start w:val="1"/>
      <w:numFmt w:val="lowerLetter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D5"/>
    <w:rsid w:val="0002347E"/>
    <w:rsid w:val="00465139"/>
    <w:rsid w:val="004F5EC7"/>
    <w:rsid w:val="007B6355"/>
    <w:rsid w:val="00922DD8"/>
    <w:rsid w:val="009E2AA3"/>
    <w:rsid w:val="00F5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F513D5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F513D5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F5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3D5"/>
  </w:style>
  <w:style w:type="paragraph" w:styleId="Tekstdymka">
    <w:name w:val="Balloon Text"/>
    <w:basedOn w:val="Normalny"/>
    <w:link w:val="TekstdymkaZnak"/>
    <w:uiPriority w:val="99"/>
    <w:semiHidden/>
    <w:unhideWhenUsed/>
    <w:rsid w:val="00F5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1 Znak,List Paragraph Znak"/>
    <w:basedOn w:val="Domylnaczcionkaakapitu"/>
    <w:link w:val="Akapitzlist"/>
    <w:uiPriority w:val="34"/>
    <w:locked/>
    <w:rsid w:val="00F513D5"/>
    <w:rPr>
      <w:rFonts w:ascii="Calibri" w:eastAsia="Calibri" w:hAnsi="Calibri"/>
    </w:rPr>
  </w:style>
  <w:style w:type="paragraph" w:styleId="Akapitzlist">
    <w:name w:val="List Paragraph"/>
    <w:aliases w:val="normalny tekst,Akapit z listą1,List Paragraph"/>
    <w:basedOn w:val="Normalny"/>
    <w:link w:val="AkapitzlistZnak"/>
    <w:uiPriority w:val="34"/>
    <w:qFormat/>
    <w:rsid w:val="00F513D5"/>
    <w:pPr>
      <w:spacing w:after="0" w:line="240" w:lineRule="auto"/>
      <w:ind w:left="720"/>
    </w:pPr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F5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3D5"/>
  </w:style>
  <w:style w:type="paragraph" w:styleId="Tekstdymka">
    <w:name w:val="Balloon Text"/>
    <w:basedOn w:val="Normalny"/>
    <w:link w:val="TekstdymkaZnak"/>
    <w:uiPriority w:val="99"/>
    <w:semiHidden/>
    <w:unhideWhenUsed/>
    <w:rsid w:val="00F5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2625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dcterms:created xsi:type="dcterms:W3CDTF">2016-03-18T11:59:00Z</dcterms:created>
  <dcterms:modified xsi:type="dcterms:W3CDTF">2016-03-21T13:14:00Z</dcterms:modified>
</cp:coreProperties>
</file>