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85BDE" w:rsidRPr="00605610" w:rsidTr="00A92BFE">
        <w:trPr>
          <w:trHeight w:val="359"/>
        </w:trPr>
        <w:tc>
          <w:tcPr>
            <w:tcW w:w="4248" w:type="dxa"/>
            <w:gridSpan w:val="2"/>
            <w:hideMark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4964EE1D" wp14:editId="400FBCC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DE" w:rsidRPr="00605610" w:rsidTr="00A92BFE">
        <w:trPr>
          <w:trHeight w:val="904"/>
        </w:trPr>
        <w:tc>
          <w:tcPr>
            <w:tcW w:w="6948" w:type="dxa"/>
            <w:gridSpan w:val="4"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85BDE" w:rsidRPr="00605610" w:rsidRDefault="00C85BDE" w:rsidP="00A92B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85BDE" w:rsidRPr="00605610" w:rsidRDefault="00C85BDE" w:rsidP="00A92BFE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C85BDE" w:rsidRPr="00605610" w:rsidTr="00A92B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C85BDE" w:rsidRPr="00605610" w:rsidRDefault="00C85BDE" w:rsidP="00A92B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85BDE" w:rsidRPr="00605610" w:rsidRDefault="00C85BDE" w:rsidP="00C85BD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85BDE" w:rsidRPr="00605610" w:rsidTr="00A92BFE">
        <w:tc>
          <w:tcPr>
            <w:tcW w:w="2660" w:type="dxa"/>
            <w:hideMark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ZP-2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C85BDE" w:rsidRPr="00605610" w:rsidRDefault="00887C1A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22</w:t>
            </w:r>
            <w:r w:rsidR="00C85BDE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.04.2020</w:t>
            </w:r>
            <w:r w:rsidR="00C85BDE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C85BDE" w:rsidRPr="00605610" w:rsidRDefault="00C85BDE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C85BDE" w:rsidRPr="000903CA" w:rsidRDefault="00C85BDE" w:rsidP="00C85BD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85BDE" w:rsidRPr="00CE1694" w:rsidRDefault="00C85BDE" w:rsidP="00C85BD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85BDE" w:rsidRPr="00B523BC" w:rsidRDefault="00C85BDE" w:rsidP="00C85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zetargu nieograniczonego nr ZP-2</w:t>
      </w: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C85BDE" w:rsidRPr="00CE1694" w:rsidRDefault="00C85BDE" w:rsidP="00C85BDE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85BDE" w:rsidRPr="00CE1694" w:rsidRDefault="00C85BDE" w:rsidP="00C85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C85BDE" w:rsidRDefault="00C85BDE" w:rsidP="00C85BDE"/>
    <w:p w:rsidR="000C6504" w:rsidRPr="000C6504" w:rsidRDefault="000C6504" w:rsidP="000C6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1. Czy ściek </w:t>
      </w:r>
      <w:proofErr w:type="spellStart"/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przykrawężnikowy</w:t>
      </w:r>
      <w:proofErr w:type="spellEnd"/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należy wykonać z kostki betonowej (zgodnie z poz. 159 d.2.5 przedmiaru) czy z elementów prefabrykowanych (zgodnie z rys. PW_PN-01)?</w:t>
      </w:r>
    </w:p>
    <w:p w:rsidR="000C6504" w:rsidRPr="000C6504" w:rsidRDefault="000C6504" w:rsidP="000C6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2. Proszę o uzupełnienie rysunku szczegółów kanalizacji deszczowej o studnie rewizyjne z PP o śr. 600 oraz studnie żelbetowe o śr. 1000.</w:t>
      </w:r>
    </w:p>
    <w:p w:rsidR="000C6504" w:rsidRPr="000C6504" w:rsidRDefault="000C6504" w:rsidP="000C6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3. Czy odtworzenie, bram oraz furtek ogrodzeń należy wykonać z nowych materiałów?</w:t>
      </w:r>
    </w:p>
    <w:p w:rsidR="000C6504" w:rsidRPr="000C6504" w:rsidRDefault="000C6504" w:rsidP="000C6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4. W projekcie wykonawczym drogowym zamieszczone zostały dwa rysunki o takim samym numerze (tj. PW_SK-01) różniące się od siebie szczegółem ścieku </w:t>
      </w:r>
      <w:proofErr w:type="spellStart"/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podchodnikowego</w:t>
      </w:r>
      <w:proofErr w:type="spellEnd"/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. Który typ ścieku należy przyjąć do wyceny?</w:t>
      </w:r>
    </w:p>
    <w:p w:rsidR="000C6504" w:rsidRPr="000C6504" w:rsidRDefault="000C6504" w:rsidP="000C6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5. Czy krawężniki najazdowe powinny mieć wymiar 15x22 (zgodnie z rys. PW_SK-01) czy 15x30 (wg poz. 155 d.2.5 przedmiaru)?</w:t>
      </w:r>
    </w:p>
    <w:p w:rsidR="000C6504" w:rsidRPr="000C6504" w:rsidRDefault="000C6504" w:rsidP="000C6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C650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6. Zgodnie z rys. PW_SK-03 wlot i wylot przepustu pod zjazdem ma zostać zakończony zbrojoną ścianką skośną. Czy takie same zakończenia należy wycenić dla przepustów nie usytuowanych pod zjazdami (przepust P-1, P-4, P-9)?</w:t>
      </w:r>
    </w:p>
    <w:p w:rsidR="00C85BDE" w:rsidRDefault="00C85BDE" w:rsidP="00C85BDE"/>
    <w:p w:rsidR="00887C1A" w:rsidRPr="001C68D2" w:rsidRDefault="00887C1A" w:rsidP="0088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C68D2">
        <w:rPr>
          <w:rFonts w:ascii="Times New Roman" w:hAnsi="Times New Roman" w:cs="Times New Roman"/>
          <w:sz w:val="24"/>
          <w:szCs w:val="24"/>
        </w:rPr>
        <w:t xml:space="preserve">Odp. Ad. 1. Ściek </w:t>
      </w:r>
      <w:proofErr w:type="spellStart"/>
      <w:r w:rsidRPr="001C68D2">
        <w:rPr>
          <w:rFonts w:ascii="Times New Roman" w:hAnsi="Times New Roman" w:cs="Times New Roman"/>
          <w:sz w:val="24"/>
          <w:szCs w:val="24"/>
        </w:rPr>
        <w:t>przykrawężnikowy</w:t>
      </w:r>
      <w:proofErr w:type="spellEnd"/>
      <w:r w:rsidRPr="001C68D2">
        <w:rPr>
          <w:rFonts w:ascii="Times New Roman" w:hAnsi="Times New Roman" w:cs="Times New Roman"/>
          <w:sz w:val="24"/>
          <w:szCs w:val="24"/>
        </w:rPr>
        <w:t xml:space="preserve"> należy wykonać z elementów prefabrykowanych</w:t>
      </w:r>
      <w:r>
        <w:rPr>
          <w:rFonts w:ascii="Times New Roman" w:hAnsi="Times New Roman" w:cs="Times New Roman"/>
          <w:sz w:val="24"/>
          <w:szCs w:val="24"/>
        </w:rPr>
        <w:t xml:space="preserve"> zgodnie z rysunkiem PW_PN-01_297x420.pdf</w:t>
      </w:r>
      <w:r w:rsidRPr="001C68D2">
        <w:rPr>
          <w:rFonts w:ascii="Times New Roman" w:hAnsi="Times New Roman" w:cs="Times New Roman"/>
          <w:sz w:val="24"/>
          <w:szCs w:val="24"/>
        </w:rPr>
        <w:t>.</w:t>
      </w:r>
      <w:r w:rsidR="008035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C1A" w:rsidRPr="001C68D2" w:rsidRDefault="00887C1A" w:rsidP="00887C1A">
      <w:pPr>
        <w:jc w:val="both"/>
        <w:rPr>
          <w:rFonts w:ascii="Times New Roman" w:hAnsi="Times New Roman" w:cs="Times New Roman"/>
          <w:sz w:val="24"/>
          <w:szCs w:val="24"/>
        </w:rPr>
      </w:pPr>
      <w:r w:rsidRPr="001C68D2">
        <w:rPr>
          <w:rFonts w:ascii="Times New Roman" w:hAnsi="Times New Roman" w:cs="Times New Roman"/>
          <w:sz w:val="24"/>
          <w:szCs w:val="24"/>
        </w:rPr>
        <w:t xml:space="preserve">Odp. Ad. </w:t>
      </w:r>
      <w:r w:rsidR="001E385A">
        <w:rPr>
          <w:rFonts w:ascii="Times New Roman" w:hAnsi="Times New Roman" w:cs="Times New Roman"/>
          <w:sz w:val="24"/>
          <w:szCs w:val="24"/>
        </w:rPr>
        <w:t xml:space="preserve">2. Zamawiający informuje, że rysunek został załączony do pisma z </w:t>
      </w:r>
      <w:r w:rsidR="000D0557">
        <w:rPr>
          <w:rFonts w:ascii="Times New Roman" w:hAnsi="Times New Roman" w:cs="Times New Roman"/>
          <w:sz w:val="24"/>
          <w:szCs w:val="24"/>
        </w:rPr>
        <w:t xml:space="preserve">poprzednimi </w:t>
      </w:r>
      <w:r w:rsidR="001E385A">
        <w:rPr>
          <w:rFonts w:ascii="Times New Roman" w:hAnsi="Times New Roman" w:cs="Times New Roman"/>
          <w:sz w:val="24"/>
          <w:szCs w:val="24"/>
        </w:rPr>
        <w:t>odpowiedziami</w:t>
      </w:r>
      <w:bookmarkStart w:id="0" w:name="_GoBack"/>
      <w:bookmarkEnd w:id="0"/>
      <w:r w:rsidR="00FE1349">
        <w:rPr>
          <w:rFonts w:ascii="Times New Roman" w:hAnsi="Times New Roman" w:cs="Times New Roman"/>
          <w:sz w:val="24"/>
          <w:szCs w:val="24"/>
        </w:rPr>
        <w:t xml:space="preserve"> (odpowiedź na pytanie 2)</w:t>
      </w:r>
      <w:r w:rsidR="001E385A">
        <w:rPr>
          <w:rFonts w:ascii="Times New Roman" w:hAnsi="Times New Roman" w:cs="Times New Roman"/>
          <w:sz w:val="24"/>
          <w:szCs w:val="24"/>
        </w:rPr>
        <w:t xml:space="preserve"> i oz</w:t>
      </w:r>
      <w:r w:rsidR="00FE1349">
        <w:rPr>
          <w:rFonts w:ascii="Times New Roman" w:hAnsi="Times New Roman" w:cs="Times New Roman"/>
          <w:sz w:val="24"/>
          <w:szCs w:val="24"/>
        </w:rPr>
        <w:t>naczony</w:t>
      </w:r>
      <w:r w:rsidRPr="001C68D2">
        <w:rPr>
          <w:rFonts w:ascii="Times New Roman" w:hAnsi="Times New Roman" w:cs="Times New Roman"/>
          <w:sz w:val="24"/>
          <w:szCs w:val="24"/>
        </w:rPr>
        <w:t xml:space="preserve"> </w:t>
      </w:r>
      <w:r w:rsidR="00803577" w:rsidRPr="00803577">
        <w:rPr>
          <w:rFonts w:ascii="Times New Roman" w:hAnsi="Times New Roman" w:cs="Times New Roman"/>
          <w:sz w:val="24"/>
          <w:szCs w:val="24"/>
        </w:rPr>
        <w:t>0002_202</w:t>
      </w:r>
      <w:r w:rsidR="00FE1349">
        <w:rPr>
          <w:rFonts w:ascii="Times New Roman" w:hAnsi="Times New Roman" w:cs="Times New Roman"/>
          <w:sz w:val="24"/>
          <w:szCs w:val="24"/>
        </w:rPr>
        <w:t xml:space="preserve">0_PW_SKD-01_297x900_odpowiedzi_3. Rysunek można również pobrać ze strony </w:t>
      </w:r>
      <w:hyperlink r:id="rId6" w:history="1">
        <w:r w:rsidR="00FE1349" w:rsidRPr="00706EAC">
          <w:rPr>
            <w:rStyle w:val="Hipercze"/>
            <w:rFonts w:ascii="Times New Roman" w:hAnsi="Times New Roman" w:cs="Times New Roman"/>
            <w:sz w:val="24"/>
            <w:szCs w:val="24"/>
          </w:rPr>
          <w:t>www.zdp.pwz.pl</w:t>
        </w:r>
      </w:hyperlink>
      <w:r w:rsidR="00FE1349">
        <w:rPr>
          <w:rFonts w:ascii="Times New Roman" w:hAnsi="Times New Roman" w:cs="Times New Roman"/>
          <w:sz w:val="24"/>
          <w:szCs w:val="24"/>
        </w:rPr>
        <w:t xml:space="preserve"> z zakładki, w której opublikowane jest niniejsze postępowanie.</w:t>
      </w:r>
    </w:p>
    <w:p w:rsidR="00887C1A" w:rsidRPr="001C68D2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  <w:r w:rsidRPr="001C68D2">
        <w:t xml:space="preserve">Odp. Ad. 3. </w:t>
      </w:r>
      <w:r w:rsidRPr="001C68D2">
        <w:rPr>
          <w:color w:val="0D0D0D" w:themeColor="text1" w:themeTint="F2"/>
        </w:rPr>
        <w:t>Wykonawca zobowiązany jest do wykonania niezbędnych rozbiórek ogrodzeń kolidujących z projektowanymi elementami zagospodarowania pasa drogowego, również istniejących bram i furtek. Odtworzenie ogrodzeń (w tym bram i furtek) dotyczy wykonania ogrodzeń tymczasowych zabezpieczających teren posesji po rozbiórce ogrodzeń. Docelowe ogrodzenia realizować będą poszczególni właściciele ze środków otrzymanych w ramach odszkodowania za wywłaszczone grunty oraz nani</w:t>
      </w:r>
      <w:r>
        <w:rPr>
          <w:color w:val="0D0D0D" w:themeColor="text1" w:themeTint="F2"/>
        </w:rPr>
        <w:t>esienia. Zamawiający dopuszcza w</w:t>
      </w:r>
      <w:r w:rsidRPr="001C68D2">
        <w:rPr>
          <w:color w:val="0D0D0D" w:themeColor="text1" w:themeTint="F2"/>
        </w:rPr>
        <w:t xml:space="preserve">ykonanie </w:t>
      </w:r>
      <w:r w:rsidRPr="001C68D2">
        <w:rPr>
          <w:color w:val="0D0D0D" w:themeColor="text1" w:themeTint="F2"/>
        </w:rPr>
        <w:lastRenderedPageBreak/>
        <w:t>ogrodzeń tymczasowych z siatki ogrodzeniowej</w:t>
      </w:r>
      <w:r>
        <w:rPr>
          <w:color w:val="0D0D0D" w:themeColor="text1" w:themeTint="F2"/>
        </w:rPr>
        <w:t>,</w:t>
      </w:r>
      <w:r w:rsidRPr="001C68D2">
        <w:rPr>
          <w:color w:val="0D0D0D" w:themeColor="text1" w:themeTint="F2"/>
        </w:rPr>
        <w:t xml:space="preserve"> bądź ogrodzeń systemowych jak również wykonanie ogrodzeń z elementów rozbiórkowych w uzgodnieniu z właścicielem posesji.</w:t>
      </w:r>
    </w:p>
    <w:p w:rsidR="00887C1A" w:rsidRPr="001C68D2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</w:p>
    <w:p w:rsidR="00887C1A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  <w:r w:rsidRPr="001C68D2">
        <w:rPr>
          <w:color w:val="0D0D0D" w:themeColor="text1" w:themeTint="F2"/>
        </w:rPr>
        <w:t xml:space="preserve">Odp. Ad. 4. </w:t>
      </w:r>
      <w:r>
        <w:rPr>
          <w:color w:val="0D0D0D" w:themeColor="text1" w:themeTint="F2"/>
        </w:rPr>
        <w:t xml:space="preserve">Należy przyjąć do wyceny ściek </w:t>
      </w:r>
      <w:proofErr w:type="spellStart"/>
      <w:r>
        <w:rPr>
          <w:color w:val="0D0D0D" w:themeColor="text1" w:themeTint="F2"/>
        </w:rPr>
        <w:t>podchodnikowy</w:t>
      </w:r>
      <w:proofErr w:type="spellEnd"/>
      <w:r>
        <w:rPr>
          <w:color w:val="0D0D0D" w:themeColor="text1" w:themeTint="F2"/>
        </w:rPr>
        <w:t xml:space="preserve"> z płytą w ramie z kątownika.</w:t>
      </w:r>
    </w:p>
    <w:p w:rsidR="00887C1A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</w:p>
    <w:p w:rsidR="00887C1A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Odp. Ad. 5. Krawężniki najazdowe powinny mieć wymiar 15x22 cm.</w:t>
      </w:r>
    </w:p>
    <w:p w:rsidR="00887C1A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</w:p>
    <w:p w:rsidR="00887C1A" w:rsidRPr="001C68D2" w:rsidRDefault="00887C1A" w:rsidP="00887C1A">
      <w:pPr>
        <w:pStyle w:val="gwpb9ea3084msonormal"/>
        <w:spacing w:before="0" w:beforeAutospacing="0" w:after="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Odp. Ad. 6. Należy wycenić takie same wloty i wyloty jak dla przepustów usytuowanych pod zjazdami z uwzględnieniem odpowiednich średnic.</w:t>
      </w:r>
    </w:p>
    <w:p w:rsidR="00803577" w:rsidRPr="00FE1349" w:rsidRDefault="00803577" w:rsidP="00FE1349">
      <w:pPr>
        <w:rPr>
          <w:rFonts w:ascii="Times New Roman" w:hAnsi="Times New Roman" w:cs="Times New Roman"/>
          <w:sz w:val="24"/>
          <w:szCs w:val="24"/>
        </w:rPr>
      </w:pPr>
    </w:p>
    <w:sectPr w:rsidR="00803577" w:rsidRPr="00FE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1225"/>
    <w:multiLevelType w:val="hybridMultilevel"/>
    <w:tmpl w:val="C8FA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DE"/>
    <w:rsid w:val="000C6504"/>
    <w:rsid w:val="000D0557"/>
    <w:rsid w:val="001E385A"/>
    <w:rsid w:val="003219BC"/>
    <w:rsid w:val="00803577"/>
    <w:rsid w:val="00887C1A"/>
    <w:rsid w:val="00C85BDE"/>
    <w:rsid w:val="00F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BFD9"/>
  <w15:chartTrackingRefBased/>
  <w15:docId w15:val="{2D40E7E9-7FBE-4421-A576-86EC783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B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9ea3084msonormal">
    <w:name w:val="gwpb9ea3084_msonormal"/>
    <w:basedOn w:val="Normalny"/>
    <w:rsid w:val="0088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0357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p.pw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6</cp:revision>
  <dcterms:created xsi:type="dcterms:W3CDTF">2020-04-20T09:15:00Z</dcterms:created>
  <dcterms:modified xsi:type="dcterms:W3CDTF">2020-04-22T09:12:00Z</dcterms:modified>
</cp:coreProperties>
</file>